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DE8" w:rsidRPr="00FA0DF3" w:rsidRDefault="00A90DE8" w:rsidP="00A90DE8">
      <w:pPr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February 29, 2012</w:t>
      </w:r>
    </w:p>
    <w:p w:rsidR="00A90DE8" w:rsidRPr="00FA0DF3" w:rsidRDefault="00A90DE8" w:rsidP="00A90DE8">
      <w:p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b/>
          <w:szCs w:val="20"/>
        </w:rPr>
        <w:t>Tuuli Lappalainen, tuuli.lappalainen@unige.ch</w:t>
      </w:r>
    </w:p>
    <w:p w:rsidR="00A90DE8" w:rsidRPr="00FA0DF3" w:rsidRDefault="00A90DE8" w:rsidP="00A90DE8">
      <w:p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b/>
          <w:szCs w:val="20"/>
        </w:rPr>
        <w:t>University of Geneva</w:t>
      </w:r>
    </w:p>
    <w:p w:rsidR="00A90DE8" w:rsidRDefault="00A90DE8" w:rsidP="00A90DE8">
      <w:pPr>
        <w:rPr>
          <w:rFonts w:ascii="Times New Roman" w:hAnsi="Times New Roman"/>
          <w:b/>
          <w:szCs w:val="20"/>
        </w:rPr>
      </w:pPr>
    </w:p>
    <w:p w:rsidR="00A90DE8" w:rsidRDefault="00A90DE8" w:rsidP="00A90DE8">
      <w:pPr>
        <w:rPr>
          <w:rFonts w:ascii="Times New Roman" w:hAnsi="Times New Roman"/>
          <w:b/>
          <w:sz w:val="28"/>
          <w:szCs w:val="20"/>
        </w:rPr>
      </w:pPr>
    </w:p>
    <w:p w:rsidR="00A90DE8" w:rsidRPr="00DC70AC" w:rsidRDefault="00A90DE8" w:rsidP="00A90DE8">
      <w:pPr>
        <w:rPr>
          <w:rFonts w:ascii="Times New Roman" w:hAnsi="Times New Roman"/>
          <w:b/>
          <w:sz w:val="28"/>
          <w:szCs w:val="20"/>
        </w:rPr>
      </w:pPr>
      <w:proofErr w:type="spellStart"/>
      <w:r w:rsidRPr="00DC70AC">
        <w:rPr>
          <w:rFonts w:ascii="Times New Roman" w:hAnsi="Times New Roman"/>
          <w:b/>
          <w:sz w:val="28"/>
          <w:szCs w:val="20"/>
        </w:rPr>
        <w:t>Geuvadis</w:t>
      </w:r>
      <w:proofErr w:type="spellEnd"/>
      <w:r w:rsidRPr="00DC70AC">
        <w:rPr>
          <w:rFonts w:ascii="Times New Roman" w:hAnsi="Times New Roman"/>
          <w:b/>
          <w:sz w:val="28"/>
          <w:szCs w:val="20"/>
        </w:rPr>
        <w:t xml:space="preserve"> RNA sequencing guidelines </w:t>
      </w:r>
    </w:p>
    <w:p w:rsidR="00A90DE8" w:rsidRDefault="00A90DE8" w:rsidP="00A90DE8">
      <w:pPr>
        <w:rPr>
          <w:rFonts w:ascii="Times New Roman" w:hAnsi="Times New Roman"/>
        </w:rPr>
      </w:pPr>
    </w:p>
    <w:p w:rsidR="00A90DE8" w:rsidRDefault="00A90DE8" w:rsidP="00A90DE8">
      <w:pPr>
        <w:rPr>
          <w:rFonts w:ascii="Times New Roman" w:hAnsi="Times New Roman"/>
        </w:rPr>
      </w:pPr>
    </w:p>
    <w:p w:rsidR="00A90DE8" w:rsidRDefault="00A90DE8" w:rsidP="00A90DE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Updated version of the </w:t>
      </w:r>
      <w:proofErr w:type="spellStart"/>
      <w:r>
        <w:rPr>
          <w:rFonts w:ascii="Times New Roman" w:hAnsi="Times New Roman"/>
        </w:rPr>
        <w:t>Geuvadis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RNAseq</w:t>
      </w:r>
      <w:proofErr w:type="spellEnd"/>
      <w:r>
        <w:rPr>
          <w:rFonts w:ascii="Times New Roman" w:hAnsi="Times New Roman"/>
        </w:rPr>
        <w:t xml:space="preserve"> sequencing protocols</w:t>
      </w:r>
    </w:p>
    <w:p w:rsidR="00A90DE8" w:rsidRDefault="00A90DE8" w:rsidP="00A90DE8">
      <w:pPr>
        <w:rPr>
          <w:rFonts w:ascii="Times New Roman" w:hAnsi="Times New Roman"/>
        </w:rPr>
      </w:pPr>
    </w:p>
    <w:p w:rsidR="00A90DE8" w:rsidRPr="00A90DE8" w:rsidRDefault="00A90DE8" w:rsidP="00A90DE8">
      <w:pPr>
        <w:rPr>
          <w:rFonts w:ascii="Times New Roman" w:hAnsi="Times New Roman"/>
        </w:rPr>
      </w:pPr>
    </w:p>
    <w:p w:rsidR="00A90DE8" w:rsidRPr="00FA0DF3" w:rsidRDefault="00A90DE8" w:rsidP="00A90DE8">
      <w:p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b/>
          <w:szCs w:val="20"/>
        </w:rPr>
        <w:t xml:space="preserve">Table 1: Sample allocation to </w:t>
      </w:r>
      <w:proofErr w:type="spellStart"/>
      <w:r w:rsidRPr="00FA0DF3">
        <w:rPr>
          <w:rFonts w:ascii="Times New Roman" w:hAnsi="Times New Roman"/>
          <w:b/>
          <w:szCs w:val="20"/>
        </w:rPr>
        <w:t>Geuvadis</w:t>
      </w:r>
      <w:proofErr w:type="spellEnd"/>
      <w:r w:rsidRPr="00FA0DF3">
        <w:rPr>
          <w:rFonts w:ascii="Times New Roman" w:hAnsi="Times New Roman"/>
          <w:b/>
          <w:szCs w:val="20"/>
        </w:rPr>
        <w:t xml:space="preserve"> partners</w:t>
      </w:r>
    </w:p>
    <w:p w:rsidR="00A90DE8" w:rsidRPr="00FA0DF3" w:rsidRDefault="00A90DE8" w:rsidP="00A90DE8">
      <w:pPr>
        <w:rPr>
          <w:rFonts w:ascii="Times New Roman" w:hAnsi="Times New Roman"/>
          <w:b/>
          <w:szCs w:val="20"/>
        </w:rPr>
      </w:pPr>
    </w:p>
    <w:tbl>
      <w:tblPr>
        <w:tblStyle w:val="TableGrid"/>
        <w:tblW w:w="0" w:type="auto"/>
        <w:tblInd w:w="216" w:type="dxa"/>
        <w:tblLook w:val="00BF"/>
      </w:tblPr>
      <w:tblGrid>
        <w:gridCol w:w="2160"/>
        <w:gridCol w:w="916"/>
        <w:gridCol w:w="1634"/>
        <w:gridCol w:w="1933"/>
        <w:gridCol w:w="1657"/>
      </w:tblGrid>
      <w:tr w:rsidR="00A90DE8" w:rsidRPr="00FA0DF3">
        <w:tc>
          <w:tcPr>
            <w:tcW w:w="2160" w:type="dxa"/>
          </w:tcPr>
          <w:p w:rsidR="00A90DE8" w:rsidRPr="00FA0DF3" w:rsidRDefault="00A90DE8" w:rsidP="0094520A">
            <w:pPr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16" w:type="dxa"/>
          </w:tcPr>
          <w:p w:rsidR="00A90DE8" w:rsidRPr="00FA0DF3" w:rsidRDefault="00A90DE8" w:rsidP="001D59D0">
            <w:pPr>
              <w:rPr>
                <w:rFonts w:ascii="Times New Roman" w:hAnsi="Times New Roman"/>
                <w:b/>
                <w:szCs w:val="20"/>
              </w:rPr>
            </w:pPr>
            <w:r w:rsidRPr="00FA0DF3">
              <w:rPr>
                <w:rFonts w:ascii="Times New Roman" w:hAnsi="Times New Roman"/>
                <w:b/>
                <w:szCs w:val="20"/>
              </w:rPr>
              <w:t>Lab #</w:t>
            </w:r>
          </w:p>
        </w:tc>
        <w:tc>
          <w:tcPr>
            <w:tcW w:w="1634" w:type="dxa"/>
          </w:tcPr>
          <w:p w:rsidR="00A90DE8" w:rsidRPr="00FA0DF3" w:rsidRDefault="00A90DE8" w:rsidP="001D59D0">
            <w:pPr>
              <w:rPr>
                <w:rFonts w:ascii="Times New Roman" w:hAnsi="Times New Roman"/>
                <w:b/>
                <w:szCs w:val="20"/>
              </w:rPr>
            </w:pPr>
            <w:proofErr w:type="spellStart"/>
            <w:proofErr w:type="gramStart"/>
            <w:r w:rsidRPr="00FA0DF3">
              <w:rPr>
                <w:rFonts w:ascii="Times New Roman" w:hAnsi="Times New Roman"/>
                <w:b/>
                <w:szCs w:val="20"/>
              </w:rPr>
              <w:t>mRNAseq</w:t>
            </w:r>
            <w:proofErr w:type="spellEnd"/>
            <w:proofErr w:type="gramEnd"/>
            <w:r w:rsidRPr="00FA0DF3">
              <w:rPr>
                <w:rFonts w:ascii="Times New Roman" w:hAnsi="Times New Roman"/>
                <w:b/>
                <w:szCs w:val="20"/>
              </w:rPr>
              <w:t xml:space="preserve"> lib prep</w:t>
            </w:r>
          </w:p>
        </w:tc>
        <w:tc>
          <w:tcPr>
            <w:tcW w:w="1933" w:type="dxa"/>
          </w:tcPr>
          <w:p w:rsidR="00A90DE8" w:rsidRPr="00FA0DF3" w:rsidRDefault="00A90DE8" w:rsidP="001D59D0">
            <w:pPr>
              <w:rPr>
                <w:rFonts w:ascii="Times New Roman" w:hAnsi="Times New Roman"/>
                <w:b/>
                <w:szCs w:val="20"/>
              </w:rPr>
            </w:pPr>
            <w:proofErr w:type="spellStart"/>
            <w:proofErr w:type="gramStart"/>
            <w:r w:rsidRPr="00FA0DF3">
              <w:rPr>
                <w:rFonts w:ascii="Times New Roman" w:hAnsi="Times New Roman"/>
                <w:b/>
                <w:szCs w:val="20"/>
              </w:rPr>
              <w:t>mRNAseq</w:t>
            </w:r>
            <w:proofErr w:type="spellEnd"/>
            <w:proofErr w:type="gramEnd"/>
            <w:r w:rsidRPr="00FA0DF3">
              <w:rPr>
                <w:rFonts w:ascii="Times New Roman" w:hAnsi="Times New Roman"/>
                <w:b/>
                <w:szCs w:val="20"/>
              </w:rPr>
              <w:t xml:space="preserve"> sequencing</w:t>
            </w:r>
          </w:p>
        </w:tc>
        <w:tc>
          <w:tcPr>
            <w:tcW w:w="1657" w:type="dxa"/>
          </w:tcPr>
          <w:p w:rsidR="00A90DE8" w:rsidRPr="00FA0DF3" w:rsidRDefault="00A90DE8" w:rsidP="0094520A">
            <w:pPr>
              <w:rPr>
                <w:rFonts w:ascii="Times New Roman" w:hAnsi="Times New Roman"/>
                <w:b/>
                <w:szCs w:val="20"/>
              </w:rPr>
            </w:pPr>
            <w:proofErr w:type="spellStart"/>
            <w:proofErr w:type="gramStart"/>
            <w:r w:rsidRPr="00FA0DF3">
              <w:rPr>
                <w:rFonts w:ascii="Times New Roman" w:hAnsi="Times New Roman"/>
                <w:b/>
                <w:szCs w:val="20"/>
              </w:rPr>
              <w:t>miRNAseq</w:t>
            </w:r>
            <w:proofErr w:type="spellEnd"/>
            <w:proofErr w:type="gramEnd"/>
            <w:r w:rsidRPr="00FA0DF3">
              <w:rPr>
                <w:rFonts w:ascii="Times New Roman" w:hAnsi="Times New Roman"/>
                <w:b/>
                <w:szCs w:val="20"/>
              </w:rPr>
              <w:t xml:space="preserve"> lib prep &amp; </w:t>
            </w:r>
            <w:proofErr w:type="spellStart"/>
            <w:r w:rsidRPr="00FA0DF3">
              <w:rPr>
                <w:rFonts w:ascii="Times New Roman" w:hAnsi="Times New Roman"/>
                <w:b/>
                <w:szCs w:val="20"/>
              </w:rPr>
              <w:t>seq</w:t>
            </w:r>
            <w:proofErr w:type="spellEnd"/>
          </w:p>
        </w:tc>
      </w:tr>
      <w:tr w:rsidR="00A90DE8" w:rsidRPr="00FA0DF3">
        <w:tc>
          <w:tcPr>
            <w:tcW w:w="2160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UNIGE (Geneva)</w:t>
            </w:r>
          </w:p>
        </w:tc>
        <w:tc>
          <w:tcPr>
            <w:tcW w:w="916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1634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465</w:t>
            </w:r>
          </w:p>
        </w:tc>
        <w:tc>
          <w:tcPr>
            <w:tcW w:w="1933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 xml:space="preserve">116 full coverage, </w:t>
            </w:r>
          </w:p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168</w:t>
            </w:r>
            <w:r w:rsidRPr="00FA0DF3">
              <w:rPr>
                <w:rFonts w:ascii="Times New Roman" w:hAnsi="Times New Roman"/>
                <w:szCs w:val="20"/>
              </w:rPr>
              <w:t xml:space="preserve"> half coverage</w:t>
            </w:r>
          </w:p>
        </w:tc>
        <w:tc>
          <w:tcPr>
            <w:tcW w:w="1657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116</w:t>
            </w:r>
          </w:p>
        </w:tc>
      </w:tr>
      <w:tr w:rsidR="00A90DE8" w:rsidRPr="00FA0DF3">
        <w:tc>
          <w:tcPr>
            <w:tcW w:w="2160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CRG (Barcelona)</w:t>
            </w:r>
          </w:p>
        </w:tc>
        <w:tc>
          <w:tcPr>
            <w:tcW w:w="916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1634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96</w:t>
            </w:r>
          </w:p>
        </w:tc>
        <w:tc>
          <w:tcPr>
            <w:tcW w:w="1933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 xml:space="preserve">96 </w:t>
            </w:r>
          </w:p>
        </w:tc>
        <w:tc>
          <w:tcPr>
            <w:tcW w:w="1657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96</w:t>
            </w:r>
          </w:p>
        </w:tc>
      </w:tr>
      <w:tr w:rsidR="00A90DE8" w:rsidRPr="00FA0DF3">
        <w:tc>
          <w:tcPr>
            <w:tcW w:w="2160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MPIMG (Berlin)</w:t>
            </w:r>
          </w:p>
        </w:tc>
        <w:tc>
          <w:tcPr>
            <w:tcW w:w="916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1634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72</w:t>
            </w:r>
          </w:p>
        </w:tc>
        <w:tc>
          <w:tcPr>
            <w:tcW w:w="1933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72</w:t>
            </w:r>
          </w:p>
        </w:tc>
        <w:tc>
          <w:tcPr>
            <w:tcW w:w="1657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72</w:t>
            </w:r>
          </w:p>
        </w:tc>
      </w:tr>
      <w:tr w:rsidR="00A90DE8" w:rsidRPr="00FA0DF3">
        <w:tc>
          <w:tcPr>
            <w:tcW w:w="2160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ICMB (Kiel)</w:t>
            </w:r>
          </w:p>
        </w:tc>
        <w:tc>
          <w:tcPr>
            <w:tcW w:w="916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1634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72</w:t>
            </w:r>
          </w:p>
        </w:tc>
        <w:tc>
          <w:tcPr>
            <w:tcW w:w="1933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72</w:t>
            </w:r>
          </w:p>
        </w:tc>
        <w:tc>
          <w:tcPr>
            <w:tcW w:w="1657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72</w:t>
            </w:r>
          </w:p>
        </w:tc>
      </w:tr>
      <w:tr w:rsidR="00A90DE8" w:rsidRPr="00FA0DF3">
        <w:tc>
          <w:tcPr>
            <w:tcW w:w="2160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HMGU (Munich)</w:t>
            </w:r>
          </w:p>
        </w:tc>
        <w:tc>
          <w:tcPr>
            <w:tcW w:w="916" w:type="dxa"/>
          </w:tcPr>
          <w:p w:rsidR="00A90DE8" w:rsidRPr="00A90DE8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A90DE8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1634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  <w:tc>
          <w:tcPr>
            <w:tcW w:w="1933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  <w:tc>
          <w:tcPr>
            <w:tcW w:w="1657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</w:tr>
      <w:tr w:rsidR="00A90DE8" w:rsidRPr="00FA0DF3">
        <w:tc>
          <w:tcPr>
            <w:tcW w:w="2160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UU (Uppsala)</w:t>
            </w:r>
          </w:p>
        </w:tc>
        <w:tc>
          <w:tcPr>
            <w:tcW w:w="916" w:type="dxa"/>
          </w:tcPr>
          <w:p w:rsidR="00A90DE8" w:rsidRPr="00A90DE8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A90DE8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1634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  <w:tc>
          <w:tcPr>
            <w:tcW w:w="1933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  <w:tc>
          <w:tcPr>
            <w:tcW w:w="1657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</w:tr>
      <w:tr w:rsidR="00A90DE8" w:rsidRPr="00FA0DF3">
        <w:tc>
          <w:tcPr>
            <w:tcW w:w="2160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LUMC (Leiden)</w:t>
            </w:r>
          </w:p>
        </w:tc>
        <w:tc>
          <w:tcPr>
            <w:tcW w:w="916" w:type="dxa"/>
          </w:tcPr>
          <w:p w:rsidR="00A90DE8" w:rsidRPr="00A90DE8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A90DE8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1634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  <w:tc>
          <w:tcPr>
            <w:tcW w:w="1933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  <w:tc>
          <w:tcPr>
            <w:tcW w:w="1657" w:type="dxa"/>
          </w:tcPr>
          <w:p w:rsidR="00A90DE8" w:rsidRPr="00FA0DF3" w:rsidRDefault="00A90DE8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</w:tr>
    </w:tbl>
    <w:p w:rsidR="00A90DE8" w:rsidRPr="00FA0DF3" w:rsidRDefault="00A90DE8" w:rsidP="00A90DE8">
      <w:p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>Counts include 5 duplicate samples that will be sequenced in full coverage every lab</w:t>
      </w:r>
    </w:p>
    <w:p w:rsidR="00A90DE8" w:rsidRPr="00FA0DF3" w:rsidRDefault="00A90DE8" w:rsidP="00A90DE8">
      <w:pPr>
        <w:rPr>
          <w:rFonts w:ascii="Times New Roman" w:hAnsi="Times New Roman"/>
          <w:b/>
          <w:szCs w:val="20"/>
        </w:rPr>
      </w:pPr>
    </w:p>
    <w:p w:rsidR="00A90DE8" w:rsidRPr="00FA0DF3" w:rsidRDefault="00A90DE8" w:rsidP="00A90DE8">
      <w:pPr>
        <w:rPr>
          <w:rFonts w:ascii="Times New Roman" w:hAnsi="Times New Roman"/>
          <w:b/>
          <w:szCs w:val="20"/>
        </w:rPr>
      </w:pPr>
    </w:p>
    <w:p w:rsidR="00A90DE8" w:rsidRPr="00FA0DF3" w:rsidRDefault="00A90DE8" w:rsidP="00A90DE8">
      <w:p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b/>
          <w:szCs w:val="20"/>
        </w:rPr>
        <w:t>Table 2: RNA samples by population</w:t>
      </w:r>
    </w:p>
    <w:p w:rsidR="00A90DE8" w:rsidRPr="00FA0DF3" w:rsidRDefault="00A90DE8" w:rsidP="00A90DE8">
      <w:pPr>
        <w:rPr>
          <w:rFonts w:ascii="Times New Roman" w:hAnsi="Times New Roman"/>
          <w:b/>
          <w:szCs w:val="20"/>
        </w:rPr>
      </w:pPr>
    </w:p>
    <w:tbl>
      <w:tblPr>
        <w:tblStyle w:val="TableGrid"/>
        <w:tblW w:w="4570" w:type="dxa"/>
        <w:tblInd w:w="216" w:type="dxa"/>
        <w:tblLook w:val="00BF"/>
      </w:tblPr>
      <w:tblGrid>
        <w:gridCol w:w="1168"/>
        <w:gridCol w:w="1418"/>
        <w:gridCol w:w="1984"/>
      </w:tblGrid>
      <w:tr w:rsidR="00A90DE8" w:rsidRPr="00FA0DF3">
        <w:tc>
          <w:tcPr>
            <w:tcW w:w="1168" w:type="dxa"/>
          </w:tcPr>
          <w:p w:rsidR="00A90DE8" w:rsidRPr="00FA0DF3" w:rsidRDefault="00A90DE8" w:rsidP="001D59D0">
            <w:pPr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A90DE8" w:rsidRPr="00FA0DF3" w:rsidRDefault="00A90DE8" w:rsidP="001D59D0">
            <w:pPr>
              <w:rPr>
                <w:rFonts w:ascii="Times New Roman" w:hAnsi="Times New Roman"/>
                <w:b/>
                <w:bCs/>
                <w:szCs w:val="20"/>
              </w:rPr>
            </w:pPr>
            <w:proofErr w:type="spellStart"/>
            <w:r w:rsidRPr="00FA0DF3">
              <w:rPr>
                <w:rFonts w:ascii="Times New Roman" w:hAnsi="Times New Roman"/>
                <w:b/>
                <w:bCs/>
                <w:szCs w:val="20"/>
              </w:rPr>
              <w:t>Geuvadis</w:t>
            </w:r>
            <w:proofErr w:type="spellEnd"/>
          </w:p>
        </w:tc>
        <w:tc>
          <w:tcPr>
            <w:tcW w:w="1984" w:type="dxa"/>
            <w:vAlign w:val="bottom"/>
          </w:tcPr>
          <w:p w:rsidR="00A90DE8" w:rsidRPr="00FA0DF3" w:rsidRDefault="00A90DE8" w:rsidP="001D59D0">
            <w:pPr>
              <w:rPr>
                <w:rFonts w:ascii="Times New Roman" w:hAnsi="Times New Roman"/>
                <w:b/>
                <w:bCs/>
                <w:szCs w:val="20"/>
              </w:rPr>
            </w:pPr>
            <w:proofErr w:type="spellStart"/>
            <w:r w:rsidRPr="00FA0DF3">
              <w:rPr>
                <w:rFonts w:ascii="Times New Roman" w:hAnsi="Times New Roman"/>
                <w:b/>
                <w:bCs/>
                <w:szCs w:val="20"/>
              </w:rPr>
              <w:t>Geuvadis</w:t>
            </w:r>
            <w:proofErr w:type="spellEnd"/>
            <w:r w:rsidRPr="00FA0DF3">
              <w:rPr>
                <w:rFonts w:ascii="Times New Roman" w:hAnsi="Times New Roman"/>
                <w:b/>
                <w:bCs/>
                <w:szCs w:val="20"/>
              </w:rPr>
              <w:t xml:space="preserve"> + 1KG Phase1</w:t>
            </w:r>
          </w:p>
        </w:tc>
      </w:tr>
      <w:tr w:rsidR="00A90DE8" w:rsidRPr="00FA0DF3">
        <w:tc>
          <w:tcPr>
            <w:tcW w:w="1168" w:type="dxa"/>
            <w:vAlign w:val="bottom"/>
          </w:tcPr>
          <w:p w:rsidR="00A90DE8" w:rsidRPr="00FA0DF3" w:rsidRDefault="00A90DE8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TSI</w:t>
            </w:r>
          </w:p>
        </w:tc>
        <w:tc>
          <w:tcPr>
            <w:tcW w:w="1418" w:type="dxa"/>
            <w:vAlign w:val="bottom"/>
          </w:tcPr>
          <w:p w:rsidR="00A90DE8" w:rsidRPr="00FA0DF3" w:rsidRDefault="00A90DE8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93</w:t>
            </w:r>
          </w:p>
        </w:tc>
        <w:tc>
          <w:tcPr>
            <w:tcW w:w="1984" w:type="dxa"/>
            <w:vAlign w:val="bottom"/>
          </w:tcPr>
          <w:p w:rsidR="00A90DE8" w:rsidRPr="00FA0DF3" w:rsidRDefault="00A90DE8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92</w:t>
            </w:r>
          </w:p>
        </w:tc>
      </w:tr>
      <w:tr w:rsidR="00A90DE8" w:rsidRPr="00FA0DF3">
        <w:tc>
          <w:tcPr>
            <w:tcW w:w="1168" w:type="dxa"/>
            <w:vAlign w:val="bottom"/>
          </w:tcPr>
          <w:p w:rsidR="00A90DE8" w:rsidRPr="00FA0DF3" w:rsidRDefault="00A90DE8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GBR</w:t>
            </w:r>
          </w:p>
        </w:tc>
        <w:tc>
          <w:tcPr>
            <w:tcW w:w="1418" w:type="dxa"/>
            <w:vAlign w:val="bottom"/>
          </w:tcPr>
          <w:p w:rsidR="00A90DE8" w:rsidRPr="00FA0DF3" w:rsidRDefault="00A90DE8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96</w:t>
            </w:r>
          </w:p>
        </w:tc>
        <w:tc>
          <w:tcPr>
            <w:tcW w:w="1984" w:type="dxa"/>
            <w:vAlign w:val="bottom"/>
          </w:tcPr>
          <w:p w:rsidR="00A90DE8" w:rsidRPr="00FA0DF3" w:rsidRDefault="00A90DE8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86</w:t>
            </w:r>
          </w:p>
        </w:tc>
      </w:tr>
      <w:tr w:rsidR="00A90DE8" w:rsidRPr="00FA0DF3">
        <w:tc>
          <w:tcPr>
            <w:tcW w:w="1168" w:type="dxa"/>
            <w:vAlign w:val="bottom"/>
          </w:tcPr>
          <w:p w:rsidR="00A90DE8" w:rsidRPr="00FA0DF3" w:rsidRDefault="00A90DE8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FIN</w:t>
            </w:r>
          </w:p>
        </w:tc>
        <w:tc>
          <w:tcPr>
            <w:tcW w:w="1418" w:type="dxa"/>
            <w:vAlign w:val="bottom"/>
          </w:tcPr>
          <w:p w:rsidR="00A90DE8" w:rsidRPr="00FA0DF3" w:rsidRDefault="00A90DE8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95</w:t>
            </w:r>
          </w:p>
        </w:tc>
        <w:tc>
          <w:tcPr>
            <w:tcW w:w="1984" w:type="dxa"/>
            <w:vAlign w:val="bottom"/>
          </w:tcPr>
          <w:p w:rsidR="00A90DE8" w:rsidRPr="00FA0DF3" w:rsidRDefault="00A90DE8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89</w:t>
            </w:r>
          </w:p>
        </w:tc>
      </w:tr>
      <w:tr w:rsidR="00A90DE8" w:rsidRPr="00FA0DF3">
        <w:tc>
          <w:tcPr>
            <w:tcW w:w="1168" w:type="dxa"/>
            <w:vAlign w:val="bottom"/>
          </w:tcPr>
          <w:p w:rsidR="00A90DE8" w:rsidRPr="00FA0DF3" w:rsidRDefault="00A90DE8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CEU</w:t>
            </w:r>
          </w:p>
        </w:tc>
        <w:tc>
          <w:tcPr>
            <w:tcW w:w="1418" w:type="dxa"/>
            <w:vAlign w:val="bottom"/>
          </w:tcPr>
          <w:p w:rsidR="00A90DE8" w:rsidRPr="00FA0DF3" w:rsidRDefault="00A90DE8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92</w:t>
            </w:r>
          </w:p>
        </w:tc>
        <w:tc>
          <w:tcPr>
            <w:tcW w:w="1984" w:type="dxa"/>
            <w:vAlign w:val="bottom"/>
          </w:tcPr>
          <w:p w:rsidR="00A90DE8" w:rsidRPr="00FA0DF3" w:rsidRDefault="00A90DE8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79</w:t>
            </w:r>
          </w:p>
        </w:tc>
      </w:tr>
      <w:tr w:rsidR="00A90DE8" w:rsidRPr="00FA0DF3">
        <w:tc>
          <w:tcPr>
            <w:tcW w:w="1168" w:type="dxa"/>
            <w:vAlign w:val="bottom"/>
          </w:tcPr>
          <w:p w:rsidR="00A90DE8" w:rsidRPr="00FA0DF3" w:rsidRDefault="00A90DE8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YRI</w:t>
            </w:r>
          </w:p>
        </w:tc>
        <w:tc>
          <w:tcPr>
            <w:tcW w:w="1418" w:type="dxa"/>
            <w:vAlign w:val="bottom"/>
          </w:tcPr>
          <w:p w:rsidR="00A90DE8" w:rsidRPr="00FA0DF3" w:rsidRDefault="00A90DE8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89</w:t>
            </w:r>
          </w:p>
        </w:tc>
        <w:tc>
          <w:tcPr>
            <w:tcW w:w="1984" w:type="dxa"/>
            <w:vAlign w:val="bottom"/>
          </w:tcPr>
          <w:p w:rsidR="00A90DE8" w:rsidRPr="00FA0DF3" w:rsidRDefault="00A90DE8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77</w:t>
            </w:r>
          </w:p>
        </w:tc>
      </w:tr>
      <w:tr w:rsidR="00A90DE8" w:rsidRPr="00FA0DF3">
        <w:tc>
          <w:tcPr>
            <w:tcW w:w="1168" w:type="dxa"/>
            <w:vAlign w:val="bottom"/>
          </w:tcPr>
          <w:p w:rsidR="00A90DE8" w:rsidRPr="00FA0DF3" w:rsidRDefault="00A90DE8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TOTAL</w:t>
            </w:r>
          </w:p>
        </w:tc>
        <w:tc>
          <w:tcPr>
            <w:tcW w:w="1418" w:type="dxa"/>
            <w:vAlign w:val="bottom"/>
          </w:tcPr>
          <w:p w:rsidR="00A90DE8" w:rsidRPr="00FA0DF3" w:rsidRDefault="00A90DE8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465</w:t>
            </w:r>
          </w:p>
        </w:tc>
        <w:tc>
          <w:tcPr>
            <w:tcW w:w="1984" w:type="dxa"/>
            <w:vAlign w:val="bottom"/>
          </w:tcPr>
          <w:p w:rsidR="00A90DE8" w:rsidRPr="00FA0DF3" w:rsidRDefault="00A90DE8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423</w:t>
            </w:r>
          </w:p>
        </w:tc>
      </w:tr>
    </w:tbl>
    <w:p w:rsidR="00A90DE8" w:rsidRPr="00FA0DF3" w:rsidRDefault="00A90DE8" w:rsidP="00A90DE8">
      <w:pPr>
        <w:rPr>
          <w:rFonts w:ascii="Times New Roman" w:hAnsi="Times New Roman"/>
          <w:b/>
          <w:szCs w:val="20"/>
        </w:rPr>
      </w:pPr>
    </w:p>
    <w:p w:rsidR="00A90DE8" w:rsidRPr="00FA0DF3" w:rsidRDefault="00A90DE8" w:rsidP="00A90DE8">
      <w:pPr>
        <w:rPr>
          <w:rFonts w:ascii="Times New Roman" w:hAnsi="Times New Roman"/>
          <w:b/>
          <w:szCs w:val="20"/>
        </w:rPr>
      </w:pPr>
    </w:p>
    <w:p w:rsidR="00A90DE8" w:rsidRPr="00A90DE8" w:rsidRDefault="00A90DE8" w:rsidP="00A90DE8">
      <w:pPr>
        <w:rPr>
          <w:rFonts w:ascii="Times New Roman" w:hAnsi="Times New Roman"/>
        </w:rPr>
      </w:pPr>
    </w:p>
    <w:p w:rsidR="00A90DE8" w:rsidRPr="00A90DE8" w:rsidRDefault="00A90DE8" w:rsidP="00A90DE8">
      <w:pPr>
        <w:rPr>
          <w:rFonts w:ascii="Times New Roman" w:hAnsi="Times New Roman"/>
          <w:b/>
        </w:rPr>
      </w:pPr>
      <w:r w:rsidRPr="00A90DE8">
        <w:rPr>
          <w:rFonts w:ascii="Times New Roman" w:hAnsi="Times New Roman"/>
          <w:b/>
        </w:rPr>
        <w:t>RNA samples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Total RNA was extracted with </w:t>
      </w:r>
      <w:proofErr w:type="spellStart"/>
      <w:r w:rsidRPr="00A90DE8">
        <w:rPr>
          <w:rFonts w:ascii="Times New Roman" w:hAnsi="Times New Roman"/>
        </w:rPr>
        <w:t>Trizol</w:t>
      </w:r>
      <w:proofErr w:type="spellEnd"/>
      <w:r w:rsidRPr="00A90DE8">
        <w:rPr>
          <w:rFonts w:ascii="Times New Roman" w:hAnsi="Times New Roman"/>
        </w:rPr>
        <w:t xml:space="preserve"> in Geneva in October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</w:t>
      </w:r>
      <w:proofErr w:type="spellStart"/>
      <w:r w:rsidRPr="00A90DE8">
        <w:rPr>
          <w:rFonts w:ascii="Times New Roman" w:hAnsi="Times New Roman"/>
        </w:rPr>
        <w:t>Qbit</w:t>
      </w:r>
      <w:proofErr w:type="spellEnd"/>
      <w:r w:rsidRPr="00A90DE8">
        <w:rPr>
          <w:rFonts w:ascii="Times New Roman" w:hAnsi="Times New Roman"/>
        </w:rPr>
        <w:t xml:space="preserve"> and total RNA </w:t>
      </w:r>
      <w:proofErr w:type="spellStart"/>
      <w:r w:rsidRPr="00A90DE8">
        <w:rPr>
          <w:rFonts w:ascii="Times New Roman" w:hAnsi="Times New Roman"/>
        </w:rPr>
        <w:t>Bioanalyzer</w:t>
      </w:r>
      <w:proofErr w:type="spellEnd"/>
      <w:r w:rsidRPr="00A90DE8">
        <w:rPr>
          <w:rFonts w:ascii="Times New Roman" w:hAnsi="Times New Roman"/>
        </w:rPr>
        <w:t xml:space="preserve"> has been done in Geneva to estimate RNA quality and quantity. The </w:t>
      </w:r>
      <w:proofErr w:type="spellStart"/>
      <w:r w:rsidRPr="00A90DE8">
        <w:rPr>
          <w:rFonts w:ascii="Times New Roman" w:hAnsi="Times New Roman"/>
        </w:rPr>
        <w:t>Bionanalyzer</w:t>
      </w:r>
      <w:proofErr w:type="spellEnd"/>
      <w:r w:rsidRPr="00A90DE8">
        <w:rPr>
          <w:rFonts w:ascii="Times New Roman" w:hAnsi="Times New Roman"/>
        </w:rPr>
        <w:t xml:space="preserve"> result files can be found in: WP4 Wiki &gt; Analysis &gt; QC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The laboratories have received a minimum of 4 </w:t>
      </w:r>
      <w:proofErr w:type="spellStart"/>
      <w:r w:rsidRPr="00A90DE8">
        <w:rPr>
          <w:rFonts w:ascii="Times New Roman" w:hAnsi="Times New Roman"/>
        </w:rPr>
        <w:t>ug</w:t>
      </w:r>
      <w:proofErr w:type="spellEnd"/>
      <w:r w:rsidRPr="00A90DE8">
        <w:rPr>
          <w:rFonts w:ascii="Times New Roman" w:hAnsi="Times New Roman"/>
        </w:rPr>
        <w:t xml:space="preserve"> of total RNA of the samples allocated to them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The RNA sample doesn't require further purification steps (other than what is specified in the </w:t>
      </w:r>
      <w:proofErr w:type="spellStart"/>
      <w:r w:rsidRPr="00A90DE8">
        <w:rPr>
          <w:rFonts w:ascii="Times New Roman" w:hAnsi="Times New Roman"/>
        </w:rPr>
        <w:t>mRNAseq</w:t>
      </w:r>
      <w:proofErr w:type="spellEnd"/>
      <w:r w:rsidRPr="00A90DE8">
        <w:rPr>
          <w:rFonts w:ascii="Times New Roman" w:hAnsi="Times New Roman"/>
        </w:rPr>
        <w:t xml:space="preserve"> protocol to get poly-A mRNA)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All laboratories should do total RNA </w:t>
      </w:r>
      <w:proofErr w:type="spellStart"/>
      <w:r w:rsidRPr="00A90DE8">
        <w:rPr>
          <w:rFonts w:ascii="Times New Roman" w:hAnsi="Times New Roman"/>
        </w:rPr>
        <w:t>Bioanalyzer</w:t>
      </w:r>
      <w:proofErr w:type="spellEnd"/>
      <w:r w:rsidRPr="00A90DE8">
        <w:rPr>
          <w:rFonts w:ascii="Times New Roman" w:hAnsi="Times New Roman"/>
        </w:rPr>
        <w:t xml:space="preserve"> for 10-20% of the RNA samples before library prep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Library preps should be done in a random order in every lab. The sample information sheets are already randomized and you can process them in that order – do not sort them according to any parameter. 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The labs may choose freely the input quantity of total RNA to use in the library preps according to what works best in their lab. You should use a small proportion for </w:t>
      </w:r>
      <w:proofErr w:type="spellStart"/>
      <w:r w:rsidRPr="00A90DE8">
        <w:rPr>
          <w:rFonts w:ascii="Times New Roman" w:hAnsi="Times New Roman"/>
        </w:rPr>
        <w:t>mRNAseq</w:t>
      </w:r>
      <w:proofErr w:type="spellEnd"/>
      <w:r w:rsidRPr="00A90DE8">
        <w:rPr>
          <w:rFonts w:ascii="Times New Roman" w:hAnsi="Times New Roman"/>
        </w:rPr>
        <w:t xml:space="preserve"> (we use 0.5 </w:t>
      </w:r>
      <w:proofErr w:type="spellStart"/>
      <w:r w:rsidRPr="00A90DE8">
        <w:rPr>
          <w:rFonts w:ascii="Times New Roman" w:hAnsi="Times New Roman"/>
        </w:rPr>
        <w:t>ug</w:t>
      </w:r>
      <w:proofErr w:type="spellEnd"/>
      <w:r w:rsidRPr="00A90DE8">
        <w:rPr>
          <w:rFonts w:ascii="Times New Roman" w:hAnsi="Times New Roman"/>
        </w:rPr>
        <w:t xml:space="preserve">) and another part for </w:t>
      </w:r>
      <w:proofErr w:type="spellStart"/>
      <w:r w:rsidRPr="00A90DE8">
        <w:rPr>
          <w:rFonts w:ascii="Times New Roman" w:hAnsi="Times New Roman"/>
        </w:rPr>
        <w:t>miRNAseq</w:t>
      </w:r>
      <w:proofErr w:type="spellEnd"/>
      <w:r w:rsidRPr="00A90DE8">
        <w:rPr>
          <w:rFonts w:ascii="Times New Roman" w:hAnsi="Times New Roman"/>
        </w:rPr>
        <w:t xml:space="preserve">  (we use 1 </w:t>
      </w:r>
      <w:proofErr w:type="spellStart"/>
      <w:r w:rsidRPr="00A90DE8">
        <w:rPr>
          <w:rFonts w:ascii="Times New Roman" w:hAnsi="Times New Roman"/>
        </w:rPr>
        <w:t>ug</w:t>
      </w:r>
      <w:proofErr w:type="spellEnd"/>
      <w:r w:rsidRPr="00A90DE8">
        <w:rPr>
          <w:rFonts w:ascii="Times New Roman" w:hAnsi="Times New Roman"/>
        </w:rPr>
        <w:t xml:space="preserve">). Keep the </w:t>
      </w:r>
      <w:proofErr w:type="gramStart"/>
      <w:r w:rsidRPr="00A90DE8">
        <w:rPr>
          <w:rFonts w:ascii="Times New Roman" w:hAnsi="Times New Roman"/>
        </w:rPr>
        <w:t xml:space="preserve">4 </w:t>
      </w:r>
      <w:proofErr w:type="spellStart"/>
      <w:r w:rsidRPr="00A90DE8">
        <w:rPr>
          <w:rFonts w:ascii="Times New Roman" w:hAnsi="Times New Roman"/>
        </w:rPr>
        <w:t>ug</w:t>
      </w:r>
      <w:proofErr w:type="spellEnd"/>
      <w:proofErr w:type="gramEnd"/>
      <w:r w:rsidRPr="00A90DE8">
        <w:rPr>
          <w:rFonts w:ascii="Times New Roman" w:hAnsi="Times New Roman"/>
        </w:rPr>
        <w:t xml:space="preserve"> limit in mind, but it should be enough for some reruns too.</w:t>
      </w:r>
    </w:p>
    <w:p w:rsidR="00A90DE8" w:rsidRPr="00A90DE8" w:rsidRDefault="00A90DE8" w:rsidP="00A90DE8">
      <w:pPr>
        <w:rPr>
          <w:rFonts w:ascii="Times New Roman" w:hAnsi="Times New Roman"/>
        </w:rPr>
      </w:pPr>
    </w:p>
    <w:p w:rsidR="00A90DE8" w:rsidRPr="00A90DE8" w:rsidRDefault="00A90DE8" w:rsidP="00A90DE8">
      <w:pPr>
        <w:rPr>
          <w:rFonts w:ascii="Times New Roman" w:hAnsi="Times New Roman"/>
        </w:rPr>
      </w:pPr>
    </w:p>
    <w:p w:rsidR="00A90DE8" w:rsidRPr="00A90DE8" w:rsidRDefault="00A90DE8" w:rsidP="00A90DE8">
      <w:pPr>
        <w:rPr>
          <w:rFonts w:ascii="Times New Roman" w:hAnsi="Times New Roman"/>
          <w:b/>
        </w:rPr>
      </w:pPr>
      <w:proofErr w:type="spellStart"/>
      <w:proofErr w:type="gramStart"/>
      <w:r w:rsidRPr="00A90DE8">
        <w:rPr>
          <w:rFonts w:ascii="Times New Roman" w:hAnsi="Times New Roman"/>
          <w:b/>
        </w:rPr>
        <w:t>mRNAseq</w:t>
      </w:r>
      <w:proofErr w:type="spellEnd"/>
      <w:proofErr w:type="gramEnd"/>
      <w:r w:rsidRPr="00A90DE8">
        <w:rPr>
          <w:rFonts w:ascii="Times New Roman" w:hAnsi="Times New Roman"/>
          <w:b/>
        </w:rPr>
        <w:t>: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>- All the partners do the library prep of the samples that were allocated to them and sequence their libraries from that prep. No libraries will be shared.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In addition to this, Geneva does library prep of all the samples that are sequenced in other labs. They sequence 168 of these samples (almost all CEU + YRI that were sequenced in other labs and ~12 form the other populations) in </w:t>
      </w:r>
      <w:proofErr w:type="spellStart"/>
      <w:r w:rsidRPr="00A90DE8">
        <w:rPr>
          <w:rFonts w:ascii="Times New Roman" w:hAnsi="Times New Roman"/>
        </w:rPr>
        <w:t>in</w:t>
      </w:r>
      <w:proofErr w:type="spellEnd"/>
      <w:r w:rsidRPr="00A90DE8">
        <w:rPr>
          <w:rFonts w:ascii="Times New Roman" w:hAnsi="Times New Roman"/>
        </w:rPr>
        <w:t xml:space="preserve"> about 1/2 of the normal coverage. 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>- The sample allocations include 5 samples that will be done in full coverage replicate in every lab. Geneva preps and sequences these samples twice to have within-lab replicates.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Sequencing is done with </w:t>
      </w:r>
      <w:proofErr w:type="spellStart"/>
      <w:r w:rsidRPr="00A90DE8">
        <w:rPr>
          <w:rFonts w:ascii="Times New Roman" w:hAnsi="Times New Roman"/>
        </w:rPr>
        <w:t>HiSeq</w:t>
      </w:r>
      <w:proofErr w:type="spellEnd"/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- 75 </w:t>
      </w:r>
      <w:proofErr w:type="spellStart"/>
      <w:r w:rsidRPr="00A90DE8">
        <w:rPr>
          <w:rFonts w:ascii="Times New Roman" w:hAnsi="Times New Roman"/>
        </w:rPr>
        <w:t>bp</w:t>
      </w:r>
      <w:proofErr w:type="spellEnd"/>
      <w:r w:rsidRPr="00A90DE8">
        <w:rPr>
          <w:rFonts w:ascii="Times New Roman" w:hAnsi="Times New Roman"/>
        </w:rPr>
        <w:t xml:space="preserve"> paired-end sequencing with fragment size of 280 </w:t>
      </w:r>
      <w:proofErr w:type="spellStart"/>
      <w:r w:rsidRPr="00A90DE8">
        <w:rPr>
          <w:rFonts w:ascii="Times New Roman" w:hAnsi="Times New Roman"/>
        </w:rPr>
        <w:t>bp</w:t>
      </w:r>
      <w:proofErr w:type="spellEnd"/>
      <w:r w:rsidRPr="00A90DE8">
        <w:rPr>
          <w:rFonts w:ascii="Times New Roman" w:hAnsi="Times New Roman"/>
        </w:rPr>
        <w:t xml:space="preserve">. If you cannot do 75bp, you can sequence 100bp PE and trim the reads. 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Coverage: minimum 10M mapped and properly paired read pairs. This number should be estimated from reads trimmed to 50bp and paired-end mapped with </w:t>
      </w:r>
      <w:proofErr w:type="spellStart"/>
      <w:r w:rsidRPr="00A90DE8">
        <w:rPr>
          <w:rFonts w:ascii="Times New Roman" w:hAnsi="Times New Roman"/>
        </w:rPr>
        <w:t>bwa</w:t>
      </w:r>
      <w:proofErr w:type="spellEnd"/>
      <w:r w:rsidRPr="00A90DE8">
        <w:rPr>
          <w:rFonts w:ascii="Times New Roman" w:hAnsi="Times New Roman"/>
        </w:rPr>
        <w:t xml:space="preserve"> (or an equivalent </w:t>
      </w:r>
      <w:proofErr w:type="spellStart"/>
      <w:r w:rsidRPr="00A90DE8">
        <w:rPr>
          <w:rFonts w:ascii="Times New Roman" w:hAnsi="Times New Roman"/>
        </w:rPr>
        <w:t>mapper</w:t>
      </w:r>
      <w:proofErr w:type="spellEnd"/>
      <w:r w:rsidRPr="00A90DE8">
        <w:rPr>
          <w:rFonts w:ascii="Times New Roman" w:hAnsi="Times New Roman"/>
        </w:rPr>
        <w:t xml:space="preserve">) to the reference genome (hg19), without filtering for mapping quality. 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Library prep kit: </w:t>
      </w:r>
      <w:proofErr w:type="spellStart"/>
      <w:r w:rsidRPr="00A90DE8">
        <w:rPr>
          <w:rFonts w:ascii="Times New Roman" w:hAnsi="Times New Roman"/>
        </w:rPr>
        <w:t>TruSeq</w:t>
      </w:r>
      <w:proofErr w:type="spellEnd"/>
      <w:r w:rsidRPr="00A90DE8">
        <w:rPr>
          <w:rFonts w:ascii="Times New Roman" w:hAnsi="Times New Roman"/>
        </w:rPr>
        <w:t xml:space="preserve"> RNA Sample Prep Kit v2, the high-throughput protocol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Cluster generation kit: </w:t>
      </w:r>
      <w:proofErr w:type="spellStart"/>
      <w:r w:rsidRPr="00A90DE8">
        <w:rPr>
          <w:rFonts w:ascii="Times New Roman" w:hAnsi="Times New Roman"/>
        </w:rPr>
        <w:t>TruSeq</w:t>
      </w:r>
      <w:proofErr w:type="spellEnd"/>
      <w:r w:rsidRPr="00A90DE8">
        <w:rPr>
          <w:rFonts w:ascii="Times New Roman" w:hAnsi="Times New Roman"/>
        </w:rPr>
        <w:t xml:space="preserve"> PE Cluster Kit v3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Sequencing kit: </w:t>
      </w:r>
      <w:proofErr w:type="spellStart"/>
      <w:r w:rsidRPr="00A90DE8">
        <w:rPr>
          <w:rFonts w:ascii="Times New Roman" w:hAnsi="Times New Roman"/>
        </w:rPr>
        <w:t>TruSeq</w:t>
      </w:r>
      <w:proofErr w:type="spellEnd"/>
      <w:r w:rsidRPr="00A90DE8">
        <w:rPr>
          <w:rFonts w:ascii="Times New Roman" w:hAnsi="Times New Roman"/>
        </w:rPr>
        <w:t xml:space="preserve"> SBS Kit v3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>- The partners can choose freely how to pool the samples to get the desired coverage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</w:t>
      </w:r>
      <w:proofErr w:type="spellStart"/>
      <w:r w:rsidRPr="00A90DE8">
        <w:rPr>
          <w:rFonts w:ascii="Times New Roman" w:hAnsi="Times New Roman"/>
        </w:rPr>
        <w:t>Bioanalyzer</w:t>
      </w:r>
      <w:proofErr w:type="spellEnd"/>
      <w:r w:rsidRPr="00A90DE8">
        <w:rPr>
          <w:rFonts w:ascii="Times New Roman" w:hAnsi="Times New Roman"/>
        </w:rPr>
        <w:t xml:space="preserve"> should be run for all library preps before sequencing</w:t>
      </w:r>
    </w:p>
    <w:p w:rsidR="00A90DE8" w:rsidRPr="00A90DE8" w:rsidRDefault="00A90DE8" w:rsidP="00A90DE8">
      <w:pPr>
        <w:rPr>
          <w:rFonts w:ascii="Times New Roman" w:hAnsi="Times New Roman"/>
        </w:rPr>
      </w:pPr>
    </w:p>
    <w:p w:rsidR="00A90DE8" w:rsidRPr="00A90DE8" w:rsidRDefault="00A90DE8" w:rsidP="00A90DE8">
      <w:pPr>
        <w:rPr>
          <w:rFonts w:ascii="Times New Roman" w:hAnsi="Times New Roman"/>
        </w:rPr>
      </w:pPr>
    </w:p>
    <w:p w:rsidR="00A90DE8" w:rsidRPr="00A90DE8" w:rsidRDefault="00A90DE8" w:rsidP="00A90DE8">
      <w:pPr>
        <w:rPr>
          <w:rFonts w:ascii="Times New Roman" w:hAnsi="Times New Roman"/>
          <w:b/>
        </w:rPr>
      </w:pPr>
      <w:proofErr w:type="spellStart"/>
      <w:proofErr w:type="gramStart"/>
      <w:r w:rsidRPr="00A90DE8">
        <w:rPr>
          <w:rFonts w:ascii="Times New Roman" w:hAnsi="Times New Roman"/>
          <w:b/>
        </w:rPr>
        <w:t>miRNAseq</w:t>
      </w:r>
      <w:proofErr w:type="spellEnd"/>
      <w:proofErr w:type="gramEnd"/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>- All the partners will do the library prep and sequence that in full coverage (3 M total reads) of the samples that were allocated to them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These allocations include 5 samples that will be done in full coverage every lab. Geneva preps and sequences these 5 samples only once (no within-lab replication). 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Sequencing is done with </w:t>
      </w:r>
      <w:proofErr w:type="spellStart"/>
      <w:r w:rsidRPr="00A90DE8">
        <w:rPr>
          <w:rFonts w:ascii="Times New Roman" w:hAnsi="Times New Roman"/>
        </w:rPr>
        <w:t>HiSeq</w:t>
      </w:r>
      <w:proofErr w:type="spellEnd"/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- 36 </w:t>
      </w:r>
      <w:proofErr w:type="spellStart"/>
      <w:r w:rsidRPr="00A90DE8">
        <w:rPr>
          <w:rFonts w:ascii="Times New Roman" w:hAnsi="Times New Roman"/>
        </w:rPr>
        <w:t>bp</w:t>
      </w:r>
      <w:proofErr w:type="spellEnd"/>
      <w:r w:rsidRPr="00A90DE8">
        <w:rPr>
          <w:rFonts w:ascii="Times New Roman" w:hAnsi="Times New Roman"/>
        </w:rPr>
        <w:t xml:space="preserve"> single-end sequencing (or trimmed to that). Fragment size 145-160 </w:t>
      </w:r>
      <w:proofErr w:type="spellStart"/>
      <w:r w:rsidRPr="00A90DE8">
        <w:rPr>
          <w:rFonts w:ascii="Times New Roman" w:hAnsi="Times New Roman"/>
        </w:rPr>
        <w:t>bp</w:t>
      </w:r>
      <w:proofErr w:type="spellEnd"/>
      <w:r w:rsidRPr="00A90DE8">
        <w:rPr>
          <w:rFonts w:ascii="Times New Roman" w:hAnsi="Times New Roman"/>
        </w:rPr>
        <w:t xml:space="preserve">. 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The initial goal was to get 3M total reads per sample from a good quality experiment. The </w:t>
      </w:r>
      <w:proofErr w:type="spellStart"/>
      <w:r w:rsidRPr="00A90DE8">
        <w:rPr>
          <w:rFonts w:ascii="Times New Roman" w:hAnsi="Times New Roman"/>
        </w:rPr>
        <w:t>miRNA</w:t>
      </w:r>
      <w:proofErr w:type="spellEnd"/>
      <w:r w:rsidRPr="00A90DE8">
        <w:rPr>
          <w:rFonts w:ascii="Times New Roman" w:hAnsi="Times New Roman"/>
        </w:rPr>
        <w:t xml:space="preserve"> yield turned out to be worse than expected, and estimating what a good quality experiment actually is not straightforward, so the criteria were refined: the labs should aim either for &gt;3M reads per sample, or a median &gt;6M. As a simple quality assessment, each sample should have around 100 000 reads mapping to human mature </w:t>
      </w:r>
      <w:proofErr w:type="spellStart"/>
      <w:r w:rsidRPr="00A90DE8">
        <w:rPr>
          <w:rFonts w:ascii="Times New Roman" w:hAnsi="Times New Roman"/>
        </w:rPr>
        <w:t>miRNA</w:t>
      </w:r>
      <w:proofErr w:type="spellEnd"/>
      <w:r w:rsidRPr="00A90DE8">
        <w:rPr>
          <w:rFonts w:ascii="Times New Roman" w:hAnsi="Times New Roman"/>
        </w:rPr>
        <w:t xml:space="preserve"> sequences after adaptor trimming, but this is not a shard cutoff but a general guideline. 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In UNIGE we are doing the ethanol precipitation step after gel elution, but if the protocol works well in your lab without it, we don’t require it. 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Library prep kit: </w:t>
      </w:r>
      <w:proofErr w:type="spellStart"/>
      <w:r w:rsidRPr="00A90DE8">
        <w:rPr>
          <w:rFonts w:ascii="Times New Roman" w:hAnsi="Times New Roman"/>
        </w:rPr>
        <w:t>TruSeq</w:t>
      </w:r>
      <w:proofErr w:type="spellEnd"/>
      <w:r w:rsidRPr="00A90DE8">
        <w:rPr>
          <w:rFonts w:ascii="Times New Roman" w:hAnsi="Times New Roman"/>
        </w:rPr>
        <w:t xml:space="preserve"> </w:t>
      </w:r>
      <w:proofErr w:type="spellStart"/>
      <w:r w:rsidRPr="00A90DE8">
        <w:rPr>
          <w:rFonts w:ascii="Times New Roman" w:hAnsi="Times New Roman"/>
        </w:rPr>
        <w:t>Sm</w:t>
      </w:r>
      <w:proofErr w:type="spellEnd"/>
      <w:r w:rsidRPr="00A90DE8">
        <w:rPr>
          <w:rFonts w:ascii="Times New Roman" w:hAnsi="Times New Roman"/>
        </w:rPr>
        <w:t xml:space="preserve"> RNA Sample Prep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Cluster generation kit: </w:t>
      </w:r>
      <w:proofErr w:type="spellStart"/>
      <w:r w:rsidRPr="00A90DE8">
        <w:rPr>
          <w:rFonts w:ascii="Times New Roman" w:hAnsi="Times New Roman"/>
        </w:rPr>
        <w:t>TruSeq</w:t>
      </w:r>
      <w:proofErr w:type="spellEnd"/>
      <w:r w:rsidRPr="00A90DE8">
        <w:rPr>
          <w:rFonts w:ascii="Times New Roman" w:hAnsi="Times New Roman"/>
        </w:rPr>
        <w:t xml:space="preserve"> SR Cluster Kit v3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Sequencing kit: </w:t>
      </w:r>
      <w:proofErr w:type="spellStart"/>
      <w:r w:rsidRPr="00A90DE8">
        <w:rPr>
          <w:rFonts w:ascii="Times New Roman" w:hAnsi="Times New Roman"/>
        </w:rPr>
        <w:t>TruSeq</w:t>
      </w:r>
      <w:proofErr w:type="spellEnd"/>
      <w:r w:rsidRPr="00A90DE8">
        <w:rPr>
          <w:rFonts w:ascii="Times New Roman" w:hAnsi="Times New Roman"/>
        </w:rPr>
        <w:t xml:space="preserve"> SBS Kit v3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The attached </w:t>
      </w:r>
      <w:proofErr w:type="spellStart"/>
      <w:r w:rsidRPr="00A90DE8">
        <w:rPr>
          <w:rFonts w:ascii="Times New Roman" w:hAnsi="Times New Roman"/>
        </w:rPr>
        <w:t>bioanalyzer</w:t>
      </w:r>
      <w:proofErr w:type="spellEnd"/>
      <w:r w:rsidRPr="00A90DE8">
        <w:rPr>
          <w:rFonts w:ascii="Times New Roman" w:hAnsi="Times New Roman"/>
        </w:rPr>
        <w:t xml:space="preserve"> file shows an example of successful library prep results from Geneva - the samples marked with yellow are from </w:t>
      </w:r>
      <w:proofErr w:type="spellStart"/>
      <w:r w:rsidRPr="00A90DE8">
        <w:rPr>
          <w:rFonts w:ascii="Times New Roman" w:hAnsi="Times New Roman"/>
        </w:rPr>
        <w:t>Geuvadis</w:t>
      </w:r>
      <w:proofErr w:type="spellEnd"/>
      <w:r w:rsidRPr="00A90DE8">
        <w:rPr>
          <w:rFonts w:ascii="Times New Roman" w:hAnsi="Times New Roman"/>
        </w:rPr>
        <w:t xml:space="preserve"> and the blue ones are other LCL samples. </w:t>
      </w:r>
    </w:p>
    <w:p w:rsidR="00A90DE8" w:rsidRPr="00A90DE8" w:rsidRDefault="00A90DE8" w:rsidP="00A90DE8">
      <w:pPr>
        <w:rPr>
          <w:rFonts w:ascii="Times New Roman" w:hAnsi="Times New Roman"/>
        </w:rPr>
      </w:pPr>
    </w:p>
    <w:p w:rsidR="00A90DE8" w:rsidRPr="00A90DE8" w:rsidRDefault="00A90DE8" w:rsidP="00A90DE8">
      <w:pPr>
        <w:rPr>
          <w:rFonts w:ascii="Times New Roman" w:hAnsi="Times New Roman"/>
          <w:b/>
        </w:rPr>
      </w:pPr>
      <w:r w:rsidRPr="00A90DE8">
        <w:rPr>
          <w:rFonts w:ascii="Times New Roman" w:hAnsi="Times New Roman"/>
          <w:b/>
        </w:rPr>
        <w:t>Sample processing information</w:t>
      </w:r>
    </w:p>
    <w:p w:rsidR="00A90DE8" w:rsidRPr="00A90DE8" w:rsidRDefault="00A90DE8" w:rsidP="00A90DE8">
      <w:pPr>
        <w:rPr>
          <w:rFonts w:ascii="Times New Roman" w:hAnsi="Times New Roman"/>
        </w:rPr>
      </w:pPr>
      <w:r w:rsidRPr="00A90DE8">
        <w:rPr>
          <w:rFonts w:ascii="Times New Roman" w:hAnsi="Times New Roman"/>
        </w:rPr>
        <w:t xml:space="preserve">- All the labs need to fill in information of sample processing for both mRNA and </w:t>
      </w:r>
      <w:proofErr w:type="spellStart"/>
      <w:r w:rsidRPr="00A90DE8">
        <w:rPr>
          <w:rFonts w:ascii="Times New Roman" w:hAnsi="Times New Roman"/>
        </w:rPr>
        <w:t>miRNAseq</w:t>
      </w:r>
      <w:proofErr w:type="spellEnd"/>
      <w:r w:rsidRPr="00A90DE8">
        <w:rPr>
          <w:rFonts w:ascii="Times New Roman" w:hAnsi="Times New Roman"/>
        </w:rPr>
        <w:t xml:space="preserve"> in order to enable control of batch effects. </w:t>
      </w:r>
      <w:proofErr w:type="gramStart"/>
      <w:r w:rsidRPr="00A90DE8">
        <w:rPr>
          <w:rFonts w:ascii="Times New Roman" w:hAnsi="Times New Roman"/>
        </w:rPr>
        <w:t>These</w:t>
      </w:r>
      <w:proofErr w:type="gramEnd"/>
      <w:r w:rsidRPr="00A90DE8">
        <w:rPr>
          <w:rFonts w:ascii="Times New Roman" w:hAnsi="Times New Roman"/>
        </w:rPr>
        <w:t xml:space="preserve"> information is given with the sample information sheets, which have been emailed to everyone and can also be found under the Samples section of the wiki. </w:t>
      </w:r>
    </w:p>
    <w:p w:rsidR="00A90DE8" w:rsidRPr="00A90DE8" w:rsidRDefault="00A90DE8" w:rsidP="00A90DE8">
      <w:pPr>
        <w:rPr>
          <w:rFonts w:ascii="Times New Roman" w:hAnsi="Times New Roman"/>
        </w:rPr>
      </w:pPr>
    </w:p>
    <w:p w:rsidR="00A90DE8" w:rsidRPr="00A90DE8" w:rsidRDefault="00A90DE8" w:rsidP="00A90DE8">
      <w:pPr>
        <w:rPr>
          <w:rFonts w:ascii="Times New Roman" w:hAnsi="Times New Roman"/>
        </w:rPr>
      </w:pPr>
    </w:p>
    <w:p w:rsidR="00A90DE8" w:rsidRPr="00A90DE8" w:rsidRDefault="00A90DE8" w:rsidP="00A90DE8">
      <w:pPr>
        <w:spacing w:beforeLines="1" w:afterLines="1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szCs w:val="20"/>
        </w:rPr>
        <w:t>Raw data processing</w:t>
      </w:r>
      <w:r w:rsidRPr="00A90DE8">
        <w:rPr>
          <w:rFonts w:ascii="Times New Roman" w:hAnsi="Times New Roman" w:cs="Times New Roman"/>
          <w:szCs w:val="20"/>
        </w:rPr>
        <w:t xml:space="preserve"> </w:t>
      </w:r>
    </w:p>
    <w:p w:rsidR="00A90DE8" w:rsidRPr="00A90DE8" w:rsidRDefault="00A90DE8" w:rsidP="00A90DE8">
      <w:pPr>
        <w:spacing w:beforeLines="1" w:afterLines="1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- </w:t>
      </w:r>
      <w:r w:rsidRPr="00A90DE8">
        <w:rPr>
          <w:rFonts w:ascii="Times New Roman" w:hAnsi="Times New Roman"/>
          <w:szCs w:val="20"/>
        </w:rPr>
        <w:t xml:space="preserve">Each lab needs to submit one </w:t>
      </w:r>
      <w:proofErr w:type="spellStart"/>
      <w:r w:rsidRPr="00A90DE8">
        <w:rPr>
          <w:rFonts w:ascii="Times New Roman" w:hAnsi="Times New Roman"/>
          <w:szCs w:val="20"/>
        </w:rPr>
        <w:t>demultiplexed</w:t>
      </w:r>
      <w:proofErr w:type="spellEnd"/>
      <w:r w:rsidRPr="00A90DE8">
        <w:rPr>
          <w:rFonts w:ascii="Times New Roman" w:hAnsi="Times New Roman"/>
          <w:szCs w:val="20"/>
        </w:rPr>
        <w:t xml:space="preserve"> </w:t>
      </w:r>
      <w:proofErr w:type="spellStart"/>
      <w:r w:rsidRPr="00A90DE8">
        <w:rPr>
          <w:rFonts w:ascii="Times New Roman" w:hAnsi="Times New Roman"/>
          <w:szCs w:val="20"/>
        </w:rPr>
        <w:t>fastq</w:t>
      </w:r>
      <w:proofErr w:type="spellEnd"/>
      <w:r w:rsidRPr="00A90DE8">
        <w:rPr>
          <w:rFonts w:ascii="Times New Roman" w:hAnsi="Times New Roman"/>
          <w:szCs w:val="20"/>
        </w:rPr>
        <w:t xml:space="preserve"> file per sample per </w:t>
      </w:r>
      <w:proofErr w:type="spellStart"/>
      <w:r w:rsidRPr="00A90DE8">
        <w:rPr>
          <w:rFonts w:ascii="Times New Roman" w:hAnsi="Times New Roman"/>
          <w:szCs w:val="20"/>
        </w:rPr>
        <w:t>mRNAper</w:t>
      </w:r>
      <w:proofErr w:type="spellEnd"/>
      <w:r w:rsidRPr="00A90DE8">
        <w:rPr>
          <w:rFonts w:ascii="Times New Roman" w:hAnsi="Times New Roman"/>
          <w:szCs w:val="20"/>
        </w:rPr>
        <w:t xml:space="preserve"> and </w:t>
      </w:r>
      <w:proofErr w:type="spellStart"/>
      <w:r w:rsidRPr="00A90DE8">
        <w:rPr>
          <w:rFonts w:ascii="Times New Roman" w:hAnsi="Times New Roman"/>
          <w:szCs w:val="20"/>
        </w:rPr>
        <w:t>miRNAseq</w:t>
      </w:r>
      <w:proofErr w:type="spellEnd"/>
      <w:r w:rsidRPr="00A90DE8">
        <w:rPr>
          <w:rFonts w:ascii="Times New Roman" w:hAnsi="Times New Roman"/>
          <w:szCs w:val="20"/>
        </w:rPr>
        <w:t xml:space="preserve">, produced by CASAVA 1.8 (1.8.2 is OK) allowing one mismatch in the index </w:t>
      </w:r>
    </w:p>
    <w:p w:rsidR="00A90DE8" w:rsidRPr="00A90DE8" w:rsidRDefault="00A90DE8" w:rsidP="00A90DE8">
      <w:pPr>
        <w:spacing w:beforeLines="1" w:afterLines="1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- </w:t>
      </w:r>
      <w:r w:rsidRPr="00A90DE8">
        <w:rPr>
          <w:rFonts w:ascii="Times New Roman" w:hAnsi="Times New Roman"/>
          <w:szCs w:val="20"/>
        </w:rPr>
        <w:t xml:space="preserve">The </w:t>
      </w:r>
      <w:proofErr w:type="spellStart"/>
      <w:r w:rsidRPr="00A90DE8">
        <w:rPr>
          <w:rFonts w:ascii="Times New Roman" w:hAnsi="Times New Roman"/>
          <w:szCs w:val="20"/>
        </w:rPr>
        <w:t>fastq</w:t>
      </w:r>
      <w:proofErr w:type="spellEnd"/>
      <w:r w:rsidRPr="00A90DE8">
        <w:rPr>
          <w:rFonts w:ascii="Times New Roman" w:hAnsi="Times New Roman"/>
          <w:szCs w:val="20"/>
        </w:rPr>
        <w:t xml:space="preserve"> files for should be named as: </w:t>
      </w:r>
      <w:proofErr w:type="spellStart"/>
      <w:r w:rsidRPr="00A90DE8">
        <w:rPr>
          <w:rFonts w:ascii="Times New Roman" w:hAnsi="Times New Roman"/>
          <w:szCs w:val="20"/>
        </w:rPr>
        <w:t>SAMPLE_ID.SeqLabNumber.M/MI_YYMMDD_Lane_</w:t>
      </w:r>
      <w:proofErr w:type="gramStart"/>
      <w:r w:rsidRPr="00A90DE8">
        <w:rPr>
          <w:rFonts w:ascii="Times New Roman" w:hAnsi="Times New Roman"/>
          <w:szCs w:val="20"/>
        </w:rPr>
        <w:t>Read.fastq.gz</w:t>
      </w:r>
      <w:proofErr w:type="spellEnd"/>
      <w:r w:rsidRPr="00A90DE8">
        <w:rPr>
          <w:rFonts w:ascii="Times New Roman" w:hAnsi="Times New Roman"/>
          <w:szCs w:val="20"/>
        </w:rPr>
        <w:t xml:space="preserve"> .</w:t>
      </w:r>
      <w:proofErr w:type="gramEnd"/>
      <w:r w:rsidRPr="00A90DE8">
        <w:rPr>
          <w:rFonts w:ascii="Times New Roman" w:hAnsi="Times New Roman"/>
          <w:szCs w:val="20"/>
        </w:rPr>
        <w:t xml:space="preserve"> </w:t>
      </w:r>
      <w:proofErr w:type="spellStart"/>
      <w:r w:rsidRPr="00A90DE8">
        <w:rPr>
          <w:rFonts w:ascii="Times New Roman" w:hAnsi="Times New Roman"/>
          <w:szCs w:val="20"/>
        </w:rPr>
        <w:t>SeqLabNumber</w:t>
      </w:r>
      <w:proofErr w:type="spellEnd"/>
      <w:r w:rsidRPr="00A90DE8">
        <w:rPr>
          <w:rFonts w:ascii="Times New Roman" w:hAnsi="Times New Roman"/>
          <w:szCs w:val="20"/>
        </w:rPr>
        <w:t xml:space="preserve"> has been given in the sample information sheets. M/MI stands for mRNA or </w:t>
      </w:r>
      <w:proofErr w:type="spellStart"/>
      <w:r w:rsidRPr="00A90DE8">
        <w:rPr>
          <w:rFonts w:ascii="Times New Roman" w:hAnsi="Times New Roman"/>
          <w:szCs w:val="20"/>
        </w:rPr>
        <w:t>miRNA</w:t>
      </w:r>
      <w:proofErr w:type="spellEnd"/>
      <w:r w:rsidRPr="00A90DE8">
        <w:rPr>
          <w:rFonts w:ascii="Times New Roman" w:hAnsi="Times New Roman"/>
          <w:szCs w:val="20"/>
        </w:rPr>
        <w:t xml:space="preserve"> sequencing. YYMMDD is the sequencing date. Example: NA12345.1.MI_111215_3_1.fastq.gz would be sample NA12345 </w:t>
      </w:r>
      <w:proofErr w:type="spellStart"/>
      <w:r w:rsidRPr="00A90DE8">
        <w:rPr>
          <w:rFonts w:ascii="Times New Roman" w:hAnsi="Times New Roman"/>
          <w:szCs w:val="20"/>
        </w:rPr>
        <w:t>miRNA</w:t>
      </w:r>
      <w:proofErr w:type="spellEnd"/>
      <w:r w:rsidRPr="00A90DE8">
        <w:rPr>
          <w:rFonts w:ascii="Times New Roman" w:hAnsi="Times New Roman"/>
          <w:szCs w:val="20"/>
        </w:rPr>
        <w:t xml:space="preserve">-sequenced in Geneva on 2011-Dec-15 on lane 3. </w:t>
      </w:r>
    </w:p>
    <w:p w:rsidR="00A90DE8" w:rsidRDefault="00A90DE8" w:rsidP="00A90DE8">
      <w:pPr>
        <w:spacing w:beforeLines="1" w:afterLines="1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- </w:t>
      </w:r>
      <w:r w:rsidRPr="00A90DE8">
        <w:rPr>
          <w:rFonts w:ascii="Times New Roman" w:hAnsi="Times New Roman"/>
          <w:szCs w:val="20"/>
        </w:rPr>
        <w:t xml:space="preserve">If you've sequenced the same library on several lanes, use the first of them in the filename, but include information of both (e.g. "1_2") on the sample information sheet. The same applies if the same libraries have been sequenced in several runs (e.g. in </w:t>
      </w:r>
      <w:proofErr w:type="spellStart"/>
      <w:r w:rsidRPr="00A90DE8">
        <w:rPr>
          <w:rFonts w:ascii="Times New Roman" w:hAnsi="Times New Roman"/>
          <w:szCs w:val="20"/>
        </w:rPr>
        <w:t>miRNAseq</w:t>
      </w:r>
      <w:proofErr w:type="spellEnd"/>
      <w:r w:rsidRPr="00A90DE8">
        <w:rPr>
          <w:rFonts w:ascii="Times New Roman" w:hAnsi="Times New Roman"/>
          <w:szCs w:val="20"/>
        </w:rPr>
        <w:t xml:space="preserve"> to get additional coverage) - but merge these files only after verifying that </w:t>
      </w:r>
      <w:proofErr w:type="spellStart"/>
      <w:r w:rsidRPr="00A90DE8">
        <w:rPr>
          <w:rFonts w:ascii="Times New Roman" w:hAnsi="Times New Roman"/>
          <w:szCs w:val="20"/>
        </w:rPr>
        <w:t>e.g</w:t>
      </w:r>
      <w:proofErr w:type="spellEnd"/>
      <w:r w:rsidRPr="00A90DE8">
        <w:rPr>
          <w:rFonts w:ascii="Times New Roman" w:hAnsi="Times New Roman"/>
          <w:szCs w:val="20"/>
        </w:rPr>
        <w:t xml:space="preserve"> the quantification results are consistent. </w:t>
      </w:r>
    </w:p>
    <w:p w:rsidR="00A90DE8" w:rsidRPr="00A90DE8" w:rsidRDefault="00A90DE8" w:rsidP="00A90DE8">
      <w:pPr>
        <w:spacing w:beforeLines="1" w:afterLines="1"/>
        <w:rPr>
          <w:rFonts w:ascii="Times New Roman" w:hAnsi="Times New Roman"/>
          <w:szCs w:val="20"/>
        </w:rPr>
      </w:pPr>
    </w:p>
    <w:p w:rsidR="00A90DE8" w:rsidRPr="00A90DE8" w:rsidRDefault="00A90DE8" w:rsidP="00A90DE8">
      <w:pPr>
        <w:spacing w:beforeLines="1" w:afterLines="1"/>
        <w:rPr>
          <w:rFonts w:ascii="Times New Roman" w:hAnsi="Times New Roman" w:cs="Times New Roman"/>
          <w:szCs w:val="20"/>
        </w:rPr>
      </w:pPr>
      <w:r w:rsidRPr="00A90DE8">
        <w:rPr>
          <w:rFonts w:ascii="Times New Roman" w:hAnsi="Times New Roman" w:cs="Times New Roman"/>
          <w:b/>
          <w:szCs w:val="20"/>
        </w:rPr>
        <w:t>Data submission</w:t>
      </w:r>
      <w:r w:rsidRPr="00A90DE8">
        <w:rPr>
          <w:rFonts w:ascii="Times New Roman" w:hAnsi="Times New Roman" w:cs="Times New Roman"/>
          <w:szCs w:val="20"/>
        </w:rPr>
        <w:t xml:space="preserve"> </w:t>
      </w:r>
    </w:p>
    <w:p w:rsidR="00A90DE8" w:rsidRPr="00A90DE8" w:rsidRDefault="00A90DE8" w:rsidP="00A90DE8">
      <w:pPr>
        <w:spacing w:beforeLines="1" w:afterLines="1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- </w:t>
      </w:r>
      <w:r w:rsidRPr="00A90DE8">
        <w:rPr>
          <w:rFonts w:ascii="Times New Roman" w:hAnsi="Times New Roman"/>
          <w:szCs w:val="20"/>
        </w:rPr>
        <w:t xml:space="preserve">The </w:t>
      </w:r>
      <w:proofErr w:type="spellStart"/>
      <w:r w:rsidRPr="00A90DE8">
        <w:rPr>
          <w:rFonts w:ascii="Times New Roman" w:hAnsi="Times New Roman"/>
          <w:szCs w:val="20"/>
        </w:rPr>
        <w:t>fastq</w:t>
      </w:r>
      <w:proofErr w:type="spellEnd"/>
      <w:r w:rsidRPr="00A90DE8">
        <w:rPr>
          <w:rFonts w:ascii="Times New Roman" w:hAnsi="Times New Roman"/>
          <w:szCs w:val="20"/>
        </w:rPr>
        <w:t xml:space="preserve"> files are to be uploaded to our ftp site (</w:t>
      </w:r>
      <w:proofErr w:type="spellStart"/>
      <w:r w:rsidRPr="00A90DE8">
        <w:rPr>
          <w:rFonts w:ascii="Times New Roman" w:hAnsi="Times New Roman"/>
          <w:szCs w:val="20"/>
        </w:rPr>
        <w:t>Natalja</w:t>
      </w:r>
      <w:proofErr w:type="spellEnd"/>
      <w:r w:rsidRPr="00A90DE8">
        <w:rPr>
          <w:rFonts w:ascii="Times New Roman" w:hAnsi="Times New Roman"/>
          <w:szCs w:val="20"/>
        </w:rPr>
        <w:t xml:space="preserve"> will submit them later to EBI ENA). Instructions for this can be found form the data storage page of the wiki </w:t>
      </w:r>
    </w:p>
    <w:p w:rsidR="00A90DE8" w:rsidRDefault="00A90DE8" w:rsidP="00A90DE8">
      <w:pPr>
        <w:spacing w:beforeLines="1" w:afterLines="1"/>
        <w:rPr>
          <w:rFonts w:ascii="Times New Roman" w:hAnsi="Times New Roman" w:cs="Times New Roman"/>
          <w:b/>
          <w:szCs w:val="20"/>
        </w:rPr>
      </w:pPr>
    </w:p>
    <w:p w:rsidR="00A90DE8" w:rsidRPr="00A90DE8" w:rsidRDefault="00A90DE8" w:rsidP="00A90DE8">
      <w:pPr>
        <w:spacing w:beforeLines="1" w:afterLines="1"/>
        <w:rPr>
          <w:rFonts w:ascii="Times New Roman" w:hAnsi="Times New Roman" w:cs="Times New Roman"/>
          <w:szCs w:val="20"/>
        </w:rPr>
      </w:pPr>
      <w:r w:rsidRPr="00A90DE8">
        <w:rPr>
          <w:rFonts w:ascii="Times New Roman" w:hAnsi="Times New Roman" w:cs="Times New Roman"/>
          <w:b/>
          <w:szCs w:val="20"/>
        </w:rPr>
        <w:t>Data submission deadline</w:t>
      </w:r>
      <w:r w:rsidRPr="00A90DE8">
        <w:rPr>
          <w:rFonts w:ascii="Times New Roman" w:hAnsi="Times New Roman" w:cs="Times New Roman"/>
          <w:szCs w:val="20"/>
        </w:rPr>
        <w:t xml:space="preserve"> </w:t>
      </w:r>
    </w:p>
    <w:p w:rsidR="00A90DE8" w:rsidRPr="00A90DE8" w:rsidRDefault="00A90DE8" w:rsidP="00A90DE8">
      <w:pPr>
        <w:spacing w:beforeLines="1" w:afterLines="1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- </w:t>
      </w:r>
      <w:r w:rsidRPr="00A90DE8">
        <w:rPr>
          <w:rFonts w:ascii="Times New Roman" w:hAnsi="Times New Roman"/>
          <w:szCs w:val="20"/>
        </w:rPr>
        <w:t xml:space="preserve">The FINAL </w:t>
      </w:r>
      <w:proofErr w:type="spellStart"/>
      <w:r w:rsidRPr="00A90DE8">
        <w:rPr>
          <w:rFonts w:ascii="Times New Roman" w:hAnsi="Times New Roman"/>
          <w:szCs w:val="20"/>
        </w:rPr>
        <w:t>fastq</w:t>
      </w:r>
      <w:proofErr w:type="spellEnd"/>
      <w:r w:rsidRPr="00A90DE8">
        <w:rPr>
          <w:rFonts w:ascii="Times New Roman" w:hAnsi="Times New Roman"/>
          <w:szCs w:val="20"/>
        </w:rPr>
        <w:t xml:space="preserve"> submission deadline is March 15, 2011 </w:t>
      </w:r>
    </w:p>
    <w:p w:rsidR="00A90DE8" w:rsidRPr="00A90DE8" w:rsidRDefault="00A90DE8" w:rsidP="00A90DE8">
      <w:pPr>
        <w:spacing w:beforeLines="1" w:afterLines="1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- </w:t>
      </w:r>
      <w:r w:rsidRPr="00A90DE8">
        <w:rPr>
          <w:rFonts w:ascii="Times New Roman" w:hAnsi="Times New Roman"/>
          <w:szCs w:val="20"/>
        </w:rPr>
        <w:t xml:space="preserve">Please submit data when it's done - don't wait for the deadline. We don't want to transfer and map 2 x 500 files at the same time. </w:t>
      </w:r>
    </w:p>
    <w:p w:rsidR="00A90DE8" w:rsidRPr="00A90DE8" w:rsidRDefault="00A90DE8" w:rsidP="00A90DE8">
      <w:pPr>
        <w:spacing w:beforeLines="1" w:afterLines="1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- </w:t>
      </w:r>
      <w:r w:rsidRPr="00A90DE8">
        <w:rPr>
          <w:rFonts w:ascii="Times New Roman" w:hAnsi="Times New Roman"/>
          <w:szCs w:val="20"/>
        </w:rPr>
        <w:t>If there are unexpected delays in your data production, inform the other partners (especially Geneva) as soon as possible</w:t>
      </w:r>
    </w:p>
    <w:p w:rsidR="00A90DE8" w:rsidRPr="00A90DE8" w:rsidRDefault="00A90DE8" w:rsidP="00A90DE8">
      <w:pPr>
        <w:rPr>
          <w:rFonts w:ascii="Times New Roman" w:hAnsi="Times New Roman"/>
        </w:rPr>
      </w:pPr>
    </w:p>
    <w:p w:rsidR="00021C73" w:rsidRPr="00A90DE8" w:rsidRDefault="00A90DE8" w:rsidP="00A90DE8">
      <w:pPr>
        <w:rPr>
          <w:rFonts w:ascii="Times New Roman" w:hAnsi="Times New Roman"/>
        </w:rPr>
      </w:pPr>
    </w:p>
    <w:sectPr w:rsidR="00021C73" w:rsidRPr="00A90DE8" w:rsidSect="007A5A7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A1D7D"/>
    <w:multiLevelType w:val="multilevel"/>
    <w:tmpl w:val="08F03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C2C4F"/>
    <w:multiLevelType w:val="multilevel"/>
    <w:tmpl w:val="776E5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751A3B"/>
    <w:multiLevelType w:val="multilevel"/>
    <w:tmpl w:val="05FCD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90DE8"/>
    <w:rsid w:val="00A90DE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C7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A90DE8"/>
    <w:pPr>
      <w:spacing w:beforeLines="1" w:afterLines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A90D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93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926</Words>
  <Characters>5283</Characters>
  <Application>Microsoft Macintosh Word</Application>
  <DocSecurity>0</DocSecurity>
  <Lines>44</Lines>
  <Paragraphs>10</Paragraphs>
  <ScaleCrop>false</ScaleCrop>
  <Company>CMU</Company>
  <LinksUpToDate>false</LinksUpToDate>
  <CharactersWithSpaces>6487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Tuuli Lappalainen</dc:creator>
  <cp:keywords/>
  <cp:lastModifiedBy>Tuuli Lappalainen</cp:lastModifiedBy>
  <cp:revision>1</cp:revision>
  <dcterms:created xsi:type="dcterms:W3CDTF">2012-02-28T23:14:00Z</dcterms:created>
  <dcterms:modified xsi:type="dcterms:W3CDTF">2012-02-28T23:20:00Z</dcterms:modified>
</cp:coreProperties>
</file>